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5347" w:rsidP="00527E2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Strateji Geliştirme 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Daire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C534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1C5347" w:rsidRDefault="001C5347" w:rsidP="00527E2B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e uygun olarak yerine getirmek s</w:t>
            </w:r>
            <w:r w:rsidRPr="001C5347">
              <w:rPr>
                <w:rFonts w:ascii="Cambria" w:hAnsi="Cambria" w:cstheme="minorHAnsi"/>
                <w:sz w:val="20"/>
                <w:szCs w:val="20"/>
              </w:rPr>
              <w:t>tratejik yönetim ve planlama, performans ve kalite ölçütlerini geliştirme, yönetim bilgi sistemi ve mali hizmet fonksiyonlarının alt birimler tarafından yürütülmesini sağlamak,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5018 sayılı Kamu Mali Yönetimi ve Kontrol Kanunu ile Strateji Geliştirme Birimlerinin Çalışma Usul ve Esasları Hakkında Yönetmelikte gereğince belirlenen görevleri yapmak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İlgili mevzuat ve üst yönetim tarafından belirlenmiş hizmetlerin üniversitenin amaç, hedef, stra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 xml:space="preserve">teji ve ilkeleri doğrultusunda </w:t>
            </w:r>
            <w:r w:rsidRPr="001C5347">
              <w:rPr>
                <w:rFonts w:ascii="Cambria" w:hAnsi="Cambria" w:cstheme="minorHAnsi"/>
                <w:sz w:val="20"/>
                <w:szCs w:val="20"/>
              </w:rPr>
              <w:t>etkili, ekonomik ve verimli şekilde sunulmasını sağlamak için gerekli önlemleri almak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Daire başkanlığının işlerinin yürütmesinde kanun, tüzük, yönetmelik, genelge, kararname ve diğer mevzuat hükümlerinin personel tarafından uygulanmasını sağlamak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Başkanlık personelinin uyum, eşgüdüm ve işbirliği içinde çalışmasını sağlamak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İhtiyaç duyulması halinde yeni personel taleplerini üst amirine iletmek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İdarenin stratejik plan ve performans programının hazırlanması ve sonuçlarının konsolide edilmesi, idare bütçesinin hazırlanması, yıllık idare faaliyet raporlarının hazırlanması, idarenin yatırım programının hazırlanması çalışmalarını koordine etmek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İç kontrol ve ön mali kontrolün etkin şekilde yürütülebilmesi için gerekli önlemleri almak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İdarenin muhasebe hizmetlerinin yürütülmesini sağlamak</w:t>
            </w:r>
            <w:r w:rsidR="00527E2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Malî kanunlarla ilgili diğer mevzuatın uygulanması konusunda üst yöneticiye ve harcama yetkililerine gerekli bilgileri sağlamak ve danışmanlık yapmak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Genel sekreterlikçe verilen diğer görevleri yerine getirmek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27E2B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1C5347" w:rsidRPr="001C5347" w:rsidRDefault="001C5347" w:rsidP="00527E2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 xml:space="preserve">En 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az 4 yıllık l</w:t>
            </w:r>
            <w:r w:rsidRPr="001C5347">
              <w:rPr>
                <w:rFonts w:ascii="Cambria" w:hAnsi="Cambria" w:cstheme="minorHAnsi"/>
                <w:sz w:val="20"/>
                <w:szCs w:val="20"/>
              </w:rPr>
              <w:t>isans mezunu olmak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5347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527E2B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1C5347" w:rsidRDefault="001C5347" w:rsidP="00527E2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C5347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527E2B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1C5347" w:rsidRPr="00B87134" w:rsidTr="008C643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1C5347" w:rsidRPr="00237669" w:rsidRDefault="001C5347" w:rsidP="008C643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1C5347" w:rsidRPr="00B87134" w:rsidTr="008C643D">
        <w:trPr>
          <w:trHeight w:val="557"/>
        </w:trPr>
        <w:tc>
          <w:tcPr>
            <w:tcW w:w="10203" w:type="dxa"/>
            <w:shd w:val="clear" w:color="auto" w:fill="auto"/>
          </w:tcPr>
          <w:p w:rsidR="001C5347" w:rsidRPr="001C5347" w:rsidRDefault="001C5347" w:rsidP="00527E2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1C5347" w:rsidRPr="001C5347" w:rsidRDefault="001C5347" w:rsidP="00527E2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 xml:space="preserve">5018 sayılı Kamu Mali Yönetimi ve Kontrol Kanunu </w:t>
            </w:r>
          </w:p>
          <w:p w:rsidR="001C5347" w:rsidRPr="001C5347" w:rsidRDefault="001C5347" w:rsidP="00527E2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Strateji Geliştirme Birimlerinin Çalışma Usul ve Esasları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FC" w:rsidRDefault="001A05FC">
      <w:pPr>
        <w:spacing w:after="0" w:line="240" w:lineRule="auto"/>
      </w:pPr>
      <w:r>
        <w:separator/>
      </w:r>
    </w:p>
  </w:endnote>
  <w:endnote w:type="continuationSeparator" w:id="0">
    <w:p w:rsidR="001A05FC" w:rsidRDefault="001A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27E2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27E2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FC" w:rsidRDefault="001A05FC">
      <w:pPr>
        <w:spacing w:after="0" w:line="240" w:lineRule="auto"/>
      </w:pPr>
      <w:r>
        <w:separator/>
      </w:r>
    </w:p>
  </w:footnote>
  <w:footnote w:type="continuationSeparator" w:id="0">
    <w:p w:rsidR="001A05FC" w:rsidRDefault="001A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A05F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34716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74C2"/>
    <w:multiLevelType w:val="hybridMultilevel"/>
    <w:tmpl w:val="5518D848"/>
    <w:lvl w:ilvl="0" w:tplc="032A9C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0396B"/>
    <w:multiLevelType w:val="hybridMultilevel"/>
    <w:tmpl w:val="DCB0E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902E3"/>
    <w:multiLevelType w:val="hybridMultilevel"/>
    <w:tmpl w:val="DD6622C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05FC"/>
    <w:rsid w:val="001A5B0A"/>
    <w:rsid w:val="001B5D03"/>
    <w:rsid w:val="001B7DEC"/>
    <w:rsid w:val="001C1D79"/>
    <w:rsid w:val="001C30F5"/>
    <w:rsid w:val="001C5347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0C65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27E2B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2021-11-13T19:20:00Z</dcterms:created>
  <dcterms:modified xsi:type="dcterms:W3CDTF">2021-11-13T19:20:00Z</dcterms:modified>
</cp:coreProperties>
</file>